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96F1A" w14:textId="27CD21A5" w:rsidR="007409CF" w:rsidRDefault="007409CF" w:rsidP="007409CF">
      <w:pPr>
        <w:jc w:val="right"/>
        <w:rPr>
          <w:szCs w:val="28"/>
        </w:rPr>
      </w:pPr>
      <w:bookmarkStart w:id="0" w:name="_Toc525549721"/>
      <w:r w:rsidRPr="00BE005C">
        <w:rPr>
          <w:szCs w:val="28"/>
        </w:rPr>
        <w:t>Приложение № </w:t>
      </w:r>
      <w:r w:rsidR="00650607">
        <w:rPr>
          <w:szCs w:val="28"/>
        </w:rPr>
        <w:t>15</w:t>
      </w:r>
    </w:p>
    <w:p w14:paraId="397819C7" w14:textId="41A0286A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="006E70DC">
        <w:rPr>
          <w:szCs w:val="28"/>
        </w:rPr>
        <w:t xml:space="preserve">решению Совета </w:t>
      </w:r>
      <w:r w:rsidR="007A329C">
        <w:rPr>
          <w:szCs w:val="28"/>
        </w:rPr>
        <w:t>Хилокского муниципального округа</w:t>
      </w:r>
    </w:p>
    <w:p w14:paraId="2D16E205" w14:textId="52E27136" w:rsidR="006E70DC" w:rsidRDefault="0048114D" w:rsidP="006E70DC">
      <w:pPr>
        <w:jc w:val="right"/>
        <w:rPr>
          <w:szCs w:val="28"/>
        </w:rPr>
      </w:pPr>
      <w:r>
        <w:rPr>
          <w:szCs w:val="28"/>
        </w:rPr>
        <w:t xml:space="preserve"> </w:t>
      </w:r>
      <w:r w:rsidR="006E70DC">
        <w:rPr>
          <w:szCs w:val="28"/>
        </w:rPr>
        <w:t xml:space="preserve">«О бюджете </w:t>
      </w:r>
      <w:r w:rsidR="007A329C">
        <w:rPr>
          <w:szCs w:val="28"/>
        </w:rPr>
        <w:t xml:space="preserve">Хилокского </w:t>
      </w:r>
      <w:proofErr w:type="gramStart"/>
      <w:r w:rsidR="006E70DC">
        <w:rPr>
          <w:szCs w:val="28"/>
        </w:rPr>
        <w:t>муниципального</w:t>
      </w:r>
      <w:proofErr w:type="gramEnd"/>
    </w:p>
    <w:p w14:paraId="0FBC2245" w14:textId="747DAA8E" w:rsidR="006E70DC" w:rsidRDefault="006E70DC" w:rsidP="006E70DC">
      <w:pPr>
        <w:jc w:val="right"/>
        <w:rPr>
          <w:szCs w:val="28"/>
        </w:rPr>
      </w:pPr>
      <w:r>
        <w:rPr>
          <w:szCs w:val="28"/>
        </w:rPr>
        <w:t xml:space="preserve"> </w:t>
      </w:r>
      <w:r w:rsidR="007A329C">
        <w:rPr>
          <w:szCs w:val="28"/>
        </w:rPr>
        <w:t xml:space="preserve">округа </w:t>
      </w:r>
      <w:r w:rsidR="00DC0CC7">
        <w:rPr>
          <w:szCs w:val="28"/>
        </w:rPr>
        <w:t>на 2026</w:t>
      </w:r>
      <w:r>
        <w:rPr>
          <w:szCs w:val="28"/>
        </w:rPr>
        <w:t xml:space="preserve"> год </w:t>
      </w:r>
    </w:p>
    <w:p w14:paraId="4F81BF42" w14:textId="74C324EA" w:rsidR="007409CF" w:rsidRDefault="00DC0CC7" w:rsidP="006E70DC">
      <w:pPr>
        <w:jc w:val="right"/>
        <w:rPr>
          <w:szCs w:val="28"/>
        </w:rPr>
      </w:pPr>
      <w:r>
        <w:rPr>
          <w:szCs w:val="28"/>
        </w:rPr>
        <w:t>и плановый период 2027 и 2028</w:t>
      </w:r>
      <w:r w:rsidR="006E70DC">
        <w:rPr>
          <w:szCs w:val="28"/>
        </w:rPr>
        <w:t xml:space="preserve"> годов»</w:t>
      </w:r>
    </w:p>
    <w:p w14:paraId="0BC8F34E" w14:textId="79ECEFC3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</w:t>
      </w:r>
      <w:r w:rsidR="006E70DC">
        <w:rPr>
          <w:szCs w:val="28"/>
        </w:rPr>
        <w:t>______</w:t>
      </w:r>
      <w:r w:rsidRPr="00E8435D">
        <w:rPr>
          <w:szCs w:val="28"/>
        </w:rPr>
        <w:t>_____№__________</w:t>
      </w:r>
    </w:p>
    <w:p w14:paraId="372ABC32" w14:textId="77777777" w:rsidR="007409CF" w:rsidRDefault="007409CF" w:rsidP="007409CF">
      <w:pPr>
        <w:ind w:firstLine="709"/>
        <w:jc w:val="right"/>
        <w:rPr>
          <w:szCs w:val="28"/>
        </w:rPr>
      </w:pPr>
    </w:p>
    <w:p w14:paraId="460DC0C8" w14:textId="77777777" w:rsidR="007409CF" w:rsidRPr="00127EF9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</w:p>
    <w:p w14:paraId="18A97FFE" w14:textId="3211B559" w:rsidR="007409CF" w:rsidRDefault="007A329C" w:rsidP="006E70DC">
      <w:pPr>
        <w:jc w:val="center"/>
        <w:rPr>
          <w:i/>
          <w:szCs w:val="28"/>
        </w:rPr>
      </w:pPr>
      <w:r>
        <w:rPr>
          <w:szCs w:val="28"/>
        </w:rPr>
        <w:t xml:space="preserve">Хилокского </w:t>
      </w:r>
      <w:r w:rsidR="006E70DC">
        <w:rPr>
          <w:szCs w:val="28"/>
        </w:rPr>
        <w:t>м</w:t>
      </w:r>
      <w:r w:rsidR="0048114D">
        <w:rPr>
          <w:szCs w:val="28"/>
        </w:rPr>
        <w:t xml:space="preserve">униципального </w:t>
      </w:r>
      <w:r>
        <w:rPr>
          <w:szCs w:val="28"/>
        </w:rPr>
        <w:t>округа</w:t>
      </w:r>
    </w:p>
    <w:p w14:paraId="399FE3C1" w14:textId="63597B4D" w:rsidR="007409CF" w:rsidRPr="00127EF9" w:rsidRDefault="006E70DC" w:rsidP="002E08F4">
      <w:pPr>
        <w:ind w:firstLine="0"/>
        <w:jc w:val="center"/>
        <w:rPr>
          <w:szCs w:val="28"/>
        </w:rPr>
      </w:pPr>
      <w:r>
        <w:rPr>
          <w:szCs w:val="28"/>
        </w:rPr>
        <w:t>н</w:t>
      </w:r>
      <w:r w:rsidR="007409CF" w:rsidRPr="00127EF9">
        <w:rPr>
          <w:szCs w:val="28"/>
        </w:rPr>
        <w:t>а</w:t>
      </w:r>
      <w:r w:rsidR="00DC0CC7">
        <w:rPr>
          <w:szCs w:val="28"/>
        </w:rPr>
        <w:t xml:space="preserve"> 2026</w:t>
      </w:r>
      <w:r w:rsidR="007409CF" w:rsidRPr="00127EF9">
        <w:rPr>
          <w:szCs w:val="28"/>
        </w:rPr>
        <w:t xml:space="preserve"> год</w:t>
      </w:r>
    </w:p>
    <w:p w14:paraId="45F12A98" w14:textId="77777777" w:rsidR="007409CF" w:rsidRPr="00127EF9" w:rsidRDefault="007409CF" w:rsidP="007409CF">
      <w:pPr>
        <w:rPr>
          <w:szCs w:val="28"/>
        </w:rPr>
      </w:pPr>
      <w:bookmarkStart w:id="1" w:name="_GoBack"/>
      <w:bookmarkEnd w:id="1"/>
    </w:p>
    <w:p w14:paraId="4FFBEDFF" w14:textId="77777777" w:rsidR="007409CF" w:rsidRPr="00942FC2" w:rsidRDefault="007409CF" w:rsidP="002E08F4">
      <w:pPr>
        <w:keepNext/>
        <w:jc w:val="right"/>
        <w:rPr>
          <w:szCs w:val="28"/>
        </w:rPr>
      </w:pPr>
      <w:r w:rsidRPr="00942FC2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2717"/>
        <w:gridCol w:w="2094"/>
        <w:gridCol w:w="1964"/>
        <w:gridCol w:w="2094"/>
      </w:tblGrid>
      <w:tr w:rsidR="007409CF" w:rsidRPr="00127EF9" w14:paraId="4088FB43" w14:textId="77777777" w:rsidTr="002E08F4">
        <w:trPr>
          <w:trHeight w:val="685"/>
          <w:tblHeader/>
        </w:trPr>
        <w:tc>
          <w:tcPr>
            <w:tcW w:w="366" w:type="pct"/>
            <w:vAlign w:val="center"/>
          </w:tcPr>
          <w:p w14:paraId="0EE6353E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№ </w:t>
            </w:r>
            <w:proofErr w:type="gramStart"/>
            <w:r w:rsidRPr="00127EF9">
              <w:rPr>
                <w:szCs w:val="28"/>
              </w:rPr>
              <w:t>п</w:t>
            </w:r>
            <w:proofErr w:type="gramEnd"/>
            <w:r w:rsidRPr="00127EF9">
              <w:rPr>
                <w:szCs w:val="28"/>
              </w:rPr>
              <w:t>/п</w:t>
            </w:r>
          </w:p>
        </w:tc>
        <w:tc>
          <w:tcPr>
            <w:tcW w:w="1419" w:type="pct"/>
            <w:vAlign w:val="center"/>
          </w:tcPr>
          <w:p w14:paraId="30954AB0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Виды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6A5F207F" w14:textId="7210AE0B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Объ</w:t>
            </w:r>
            <w:r w:rsidR="00FB51D1">
              <w:rPr>
                <w:szCs w:val="28"/>
              </w:rPr>
              <w:t>е</w:t>
            </w:r>
            <w:r w:rsidRPr="00127EF9">
              <w:rPr>
                <w:szCs w:val="28"/>
              </w:rPr>
              <w:t>м</w:t>
            </w:r>
            <w:r>
              <w:rPr>
                <w:szCs w:val="28"/>
              </w:rPr>
              <w:t xml:space="preserve"> </w:t>
            </w:r>
            <w:r w:rsidRPr="00767922">
              <w:rPr>
                <w:szCs w:val="28"/>
              </w:rPr>
              <w:t>привлечения сре</w:t>
            </w:r>
            <w:proofErr w:type="gramStart"/>
            <w:r w:rsidRPr="00767922">
              <w:rPr>
                <w:szCs w:val="28"/>
              </w:rPr>
              <w:t>дств в б</w:t>
            </w:r>
            <w:proofErr w:type="gramEnd"/>
            <w:r w:rsidRPr="00767922">
              <w:rPr>
                <w:szCs w:val="28"/>
              </w:rPr>
              <w:t>юджет</w:t>
            </w:r>
          </w:p>
        </w:tc>
        <w:tc>
          <w:tcPr>
            <w:tcW w:w="1026" w:type="pct"/>
            <w:vAlign w:val="center"/>
          </w:tcPr>
          <w:p w14:paraId="5E6E8AD1" w14:textId="181B83DA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67922">
              <w:rPr>
                <w:szCs w:val="28"/>
              </w:rPr>
              <w:t>бъем погашения</w:t>
            </w:r>
            <w:r>
              <w:rPr>
                <w:szCs w:val="28"/>
              </w:rPr>
              <w:t xml:space="preserve">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51D0563B" w14:textId="77777777" w:rsidR="007409CF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942FC2">
              <w:rPr>
                <w:szCs w:val="28"/>
              </w:rPr>
              <w:t>редельные сроки погашения долговых обязательств</w:t>
            </w:r>
          </w:p>
        </w:tc>
      </w:tr>
      <w:tr w:rsidR="007409CF" w:rsidRPr="00127EF9" w14:paraId="3FF15ECC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0D68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475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869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6BE3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1D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E08F4" w:rsidRPr="00127EF9" w14:paraId="202EE0C4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E971" w14:textId="505EA16F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F9F" w14:textId="6A2CBF82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Бюджетный кредит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49C0" w14:textId="467A4A3E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0D0F" w14:textId="59938680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80C9D">
              <w:rPr>
                <w:szCs w:val="28"/>
              </w:rPr>
              <w:t xml:space="preserve"> </w:t>
            </w:r>
            <w:r>
              <w:rPr>
                <w:szCs w:val="28"/>
              </w:rPr>
              <w:t>836,0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EF23" w14:textId="518183AC" w:rsidR="002E08F4" w:rsidRDefault="00DC0CC7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30.11.2026</w:t>
            </w:r>
            <w:r w:rsidR="0048114D">
              <w:rPr>
                <w:szCs w:val="28"/>
              </w:rPr>
              <w:t xml:space="preserve"> г.</w:t>
            </w:r>
          </w:p>
        </w:tc>
      </w:tr>
    </w:tbl>
    <w:p w14:paraId="29CE7BD9" w14:textId="77777777" w:rsidR="007409CF" w:rsidRPr="00127EF9" w:rsidRDefault="007409CF" w:rsidP="002E08F4"/>
    <w:p w14:paraId="7171EF19" w14:textId="77777777" w:rsidR="007409CF" w:rsidRDefault="007409CF" w:rsidP="002E08F4"/>
    <w:p w14:paraId="3AEE85EC" w14:textId="0F6475EE" w:rsidR="007409CF" w:rsidRDefault="007409CF" w:rsidP="002E08F4"/>
    <w:p w14:paraId="1C0CF006" w14:textId="61C6494D" w:rsidR="00AD2BFE" w:rsidRDefault="00AD2BFE" w:rsidP="002E08F4"/>
    <w:p w14:paraId="0EF6F70D" w14:textId="3A446E44" w:rsidR="00AD2BFE" w:rsidRDefault="00AD2BFE" w:rsidP="002E08F4"/>
    <w:p w14:paraId="6E46EB8F" w14:textId="1291FAEB" w:rsidR="00AD2BFE" w:rsidRDefault="00AD2BFE" w:rsidP="002E08F4"/>
    <w:p w14:paraId="0553D7D3" w14:textId="5E03FCF9" w:rsidR="00AD2BFE" w:rsidRDefault="00AD2BFE" w:rsidP="002E08F4"/>
    <w:p w14:paraId="5A0CBB77" w14:textId="3B4AE35B" w:rsidR="00AD2BFE" w:rsidRDefault="00AD2BFE" w:rsidP="002E08F4"/>
    <w:p w14:paraId="4300E643" w14:textId="7545DC7F" w:rsidR="00AD2BFE" w:rsidRDefault="00AD2BFE" w:rsidP="002E08F4"/>
    <w:p w14:paraId="1428EFFF" w14:textId="191C1050" w:rsidR="00AD2BFE" w:rsidRDefault="00AD2BFE" w:rsidP="002E08F4"/>
    <w:p w14:paraId="64AA9A2A" w14:textId="5DC37311" w:rsidR="00AD2BFE" w:rsidRDefault="00AD2BFE" w:rsidP="002E08F4"/>
    <w:bookmarkEnd w:id="0"/>
    <w:p w14:paraId="544F0284" w14:textId="77777777" w:rsidR="007409CF" w:rsidRDefault="007409CF" w:rsidP="006E70DC">
      <w:pPr>
        <w:ind w:firstLine="0"/>
      </w:pPr>
    </w:p>
    <w:sectPr w:rsidR="007409CF" w:rsidSect="00637694">
      <w:footerReference w:type="default" r:id="rId9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2ED6E" w14:textId="77777777" w:rsidR="009A0474" w:rsidRDefault="009A0474">
      <w:r>
        <w:separator/>
      </w:r>
    </w:p>
  </w:endnote>
  <w:endnote w:type="continuationSeparator" w:id="0">
    <w:p w14:paraId="0CFE2B41" w14:textId="77777777" w:rsidR="009A0474" w:rsidRDefault="009A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607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BABEE" w14:textId="77777777" w:rsidR="009A0474" w:rsidRDefault="009A0474">
      <w:r>
        <w:separator/>
      </w:r>
    </w:p>
  </w:footnote>
  <w:footnote w:type="continuationSeparator" w:id="0">
    <w:p w14:paraId="103365FD" w14:textId="77777777" w:rsidR="009A0474" w:rsidRDefault="009A0474">
      <w:r>
        <w:continuationSeparator/>
      </w:r>
    </w:p>
  </w:footnote>
  <w:footnote w:type="continuationNotice" w:id="1">
    <w:p w14:paraId="085E339C" w14:textId="77777777" w:rsidR="009A0474" w:rsidRDefault="009A04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35D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5E25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0607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0DC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9C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9A3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474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0CC7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4EAC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5F0C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EB785425-2EDE-4DB5-A24F-2AF558EF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13</cp:revision>
  <cp:lastPrinted>2023-07-15T00:42:00Z</cp:lastPrinted>
  <dcterms:created xsi:type="dcterms:W3CDTF">2023-07-26T16:25:00Z</dcterms:created>
  <dcterms:modified xsi:type="dcterms:W3CDTF">2025-11-11T15:26:00Z</dcterms:modified>
</cp:coreProperties>
</file>